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87" w:rsidRPr="00496D87" w:rsidRDefault="00496D87" w:rsidP="00496D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Ogłoszenie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555166-N-2018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2018-05-09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496D87" w:rsidRPr="008B07DB" w:rsidRDefault="00496D87" w:rsidP="00496D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Filharmonia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Mieczysława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Karłowicza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Szczecinie: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materiałów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poligraficznych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potrzeby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działalności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kulturalnej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Filharmonii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Karłowicza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Szczecinie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Zamieszczanie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publicznego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projektu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współfinansowanego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Europejskiej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projektu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mogą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ubiegać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wyłącznie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zakłady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chronionej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wykonawcy,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działalność,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działalność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wyodrębnionych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organizacyjnie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jednostek,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będą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realizowały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obejmuje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społeczną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zawodową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integrację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osób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będących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członkami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społecznie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marginalizowanych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minimalny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procentowy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wskaźnik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zatrudnienia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osób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więcej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kategorii,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mniejszy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30%,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osób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zatrudnionych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zakłady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pracy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chronionej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jednostki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%)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I: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ZAMAWIAJĄCY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centralny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podmiot,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któremu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powierzył/powierzyli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podmiotu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któremu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powierzył/powierzyli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prowadzenie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przeprowadzane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wspólnie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wymienić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przeprowadzają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adresy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krajowe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numery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identyfikacyjne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kontakt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wraz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danymi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kontaktów: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przeprowadzane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wspólnie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zamawiającymi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państw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członkowskich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Europejskiej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wspólnie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zamawiającymi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państw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członkowskich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Europejskiej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mające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zastosowanie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krajowe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prawo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publicznych: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Filharmonia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im.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Mieczysława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Karłowicza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Szczecinie,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identyfikacyjny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28048800000,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ul.pl.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Małopolska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48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70515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Szczecin,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woj.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zachodniopomorskie,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państwo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Polska,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tel.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91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430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95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11,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e-maild.burdzinska@filharmonia.szczecin.pl,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faks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internetowej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(URL):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http://filharmonia.szczecin.pl/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profilu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nabywcy: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internetowej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można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uzyskać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dostęp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narzędzi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urządzeń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formatów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plików,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ogólnie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dostępne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RODZAJ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ZAMAWIAJĄCEGO: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(proszę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określić):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samorządowa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instytucja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kultury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WSPÓLNE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</w:t>
      </w:r>
      <w:r w:rsidR="00DE2BB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dotyczy)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Podział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między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przeprowadzania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przeprowadzania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państw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członkowskich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Unii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Europejskiej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(który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odpowiedzialny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przeprowadzenie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przeprowadzenie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odpowiadają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pozostali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każdego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indywidualnie,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imieniu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rze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cz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pozostałych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zamawiających):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bezpośredni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można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uzyskać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adresem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(URL)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http://bip.filharmonia.szczecin.pl/chapter_71014.asp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strony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internetowej,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zamieszczona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specyfikacja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istotnych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http://bip.filharmonia.szczecin.pl/chapter_71014.asp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ograniczony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więcej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można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uzyskać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adresem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przesyłać: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przesłanie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br/>
        <w:t>Inny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sposób: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przesłanie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sposób: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została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pisemnej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Filharmonia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im.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Mieczysława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Karłowicza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Szczecinie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Ul.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Małopolska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48,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70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515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Szczecin,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sekretariat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korzystania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narzędzi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urządzeń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formatów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plików,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są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ogólnie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dostępne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pełny,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bezpośredni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bezpłatny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dostęp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narzędzi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żna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uzyskać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pod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adresem: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07DB">
        <w:rPr>
          <w:rFonts w:ascii="Times New Roman" w:eastAsia="Times New Roman" w:hAnsi="Times New Roman" w:cs="Times New Roman"/>
          <w:color w:val="000000"/>
          <w:lang w:eastAsia="pl-PL"/>
        </w:rPr>
        <w:t>(URL)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II: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PRZEDMIOT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ZAMÓWIENIA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nadana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zamawiającego: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materiałów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poligraficznych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potrzeby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działalności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kulturalnej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Filharmonii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im.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Karłowicza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Szczecinie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referencyjny: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PT/SG/265/V/18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wszczęciem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przeprowadzono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dialog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techniczny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B07DB" w:rsidRDefault="00496D87" w:rsidP="008B07D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Rodzaj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B07DB" w:rsidRDefault="00496D87" w:rsidP="008B07D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możliwości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8B07D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podzielone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części: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można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odniesieniu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wszystkich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B07DB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zastrzega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sobie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prawo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łącznie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następujących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może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zostać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udzielone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jednemu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Krótki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zakres,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rodzaj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ilość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dostaw,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usług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robót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budowlanych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określenie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wymagań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partnerstwa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określenie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produkt,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usługę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roboty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„Dostawa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materiałów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poligraficznych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potrzeby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działalności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kulturalnej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Filharmonii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im.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Karłowicza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Szczecinie”,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opisem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zasadami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sztuki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drukarskiej,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współczesnej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wiedzy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normami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powszechnie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kod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CPV: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22900000-9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kody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CPV: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Całkowita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podaje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wartości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zamówienia)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Wartość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VAT: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umów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ramowych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dynamicznego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systemu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zakupów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szacunkowa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całkowita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maksymalna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całym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okresie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obowiązywania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ramowej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dynamicznego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systemu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zakupów)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II.7)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zamówień,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67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134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Pzp: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Określenie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wielkości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zostaną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134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realizowane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została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zawarta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ramowa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został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ustanowiony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dynamiczny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system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miesiącach: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rozpoczęcia: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Okres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Okres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zakończenia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zawarcia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lipca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2018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III: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CHARAKTERZE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PRAWNYM,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EKONOMICZNYM,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FINANSOWYM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TECHNICZNYM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Kompetencje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uprawnienia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prowadzenia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określonej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działalności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zawodowej,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ile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wynika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odrębnych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przepisów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Określenie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finansowa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ekonomiczna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Określenie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Zdolność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techniczna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zawodowa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Określenie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ubiegać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spełnia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poniżej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warunek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zdolności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zawodowej.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Minimalny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poziom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zdolności: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uzna,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posiada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zdolności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zawodowe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zapewniające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należyte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wykaże,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należycie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ostatnich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trzech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upływem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prowadzenia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działalności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krótszy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okresie,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minimum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dwie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każda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polegała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sukcesywnych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materiałów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poligraficznych,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realizowanych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trwającej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krócej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wartości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mniejszej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60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000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brutto,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dostarczył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najmniej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plakaty,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ulotki,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wizytówki,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teczki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firmowe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zaproszenia.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„sukcesywne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dostawy”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rozumie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realizację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najmniej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częściach,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odstępach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czasu.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spełniania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zdolności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zawodowej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przedstawi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(umowę)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będącą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trakcie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realizacji,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dzień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musi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zrealizowana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najmniej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częściach,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krótszy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mniejszą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60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000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brutto.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trwającą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umowę,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została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zakończona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dzień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swoją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datą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początkowemu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dniowi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(np.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realizowaną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1.01.2017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31.12.2017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r.).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UWAGA: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jakakolwiek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wskazana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wykazania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spełniania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wyrażona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walucie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obcej,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przeliczy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walutę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polską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oparciu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średni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kurs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walut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NBP,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danej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waluty,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daty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wszczęcia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opublikowany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średni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kurs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NBP,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przyjmie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kurs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średni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ostatniej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tabeli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wszczęciem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warunek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musi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spełniać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najmniej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jeden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całości.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ubiegających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ofercie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wniosku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imion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nazwisk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osób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wykonujących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czynności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kwalifikacjach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zawodowych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doświadczeniu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osób: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dodatkowe: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WYKLUCZENIA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wykluczenia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określone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wykluczenie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następujące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fakultatywne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wykluczenia: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(podstawa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wykluczenia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(podstawa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wykluczenia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(podstawa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wykluczenia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WSTĘPNEGO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POTWIERDZENIA,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ŻE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PODLEGA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WYKLUCZENIU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SPEŁNIA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SPEŁNIA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SELEKCJI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niepodleganiu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wykluczeniu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spełnianiu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spełnianiu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selekcji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WEZWANIE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ZAMAWIAJACEGO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POTWIERDZENIA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OKOLICZNOŚCI,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25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odpis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rejestru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centralnej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ewidencji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działalności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gospodarczej,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odrębne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wymagają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wpisu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rejestru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ewidencji,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wykazania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braku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podstaw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wykluczenia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podstawie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odpis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każdy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wspólną.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kopii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potwierdzonej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oryginałem.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WEZWANIE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ZAMAWIAJACEGO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POTWIERDZENIA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OKOLICZNOŚCI,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25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SPEŁNIANIA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wykaz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wykonanych,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świadczeń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ciągłych,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również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wykonywanych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ostatnich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trzech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upływem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prowadzenia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działalności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krótszy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okresie,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podaniem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wartości,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podmiotów,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rzecz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zostały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załączeniem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dowodów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zostały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wykonywane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należycie;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dowodami,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referencje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bądź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wystawione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podmiot,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rzecz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były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wykonywane,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świadczeń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ciągłych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wykonywane,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uzasadnionej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przyczyny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obiektywnym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charakterze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uzyskać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świadczeń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ciągłych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nadal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wykonywanych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referencje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bądź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potwierdzające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należyte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wykonywanie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powinny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wydane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upływem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wniosków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natomiast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dowody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kopii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potwierdzonej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oryginałem.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SELEKCJI: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WEZWANIE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ZAMAWIAJACEGO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POTWIERDZENIA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OKOLICZNOŚCI,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25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WYMIENIONE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zamawiającego,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dołączyć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formularz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Rozdziałem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jeden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formularz.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kalkulacja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cenowa,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według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wzoru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stanowiącego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załącznik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1c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zależności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tego,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część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ofertę;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jeden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formularz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braku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podstaw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wykluczenia,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Rozdziałem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każdy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wspólną.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spełnianiu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podmiotach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trzecich,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Rozdziałem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jeden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formularz.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zobowiązanie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trzeciego,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Rozdziałem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spełniania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zamierza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polegać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zdolnościach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zawodowych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sytuacji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finansowej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ekonomicznej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podmiotów;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kopii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notarialnie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potwierdzonej.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odpowiednie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pełnomocnictwa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tylko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sytuacjach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Rozdziale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(Rozdział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);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pełnomocnictwa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kopii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notarialnie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potwierdzonej.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według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wzoru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stanowiącego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załącznik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wskazujące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część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powierzy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podwykonawcom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podwykonawców)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firmy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znane);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oryginale.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IV: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PROCEDURA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Przetarg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nieograniczony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żąda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wniesienia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wadium:</w:t>
      </w:r>
    </w:p>
    <w:p w:rsidR="00496D87" w:rsidRPr="00496D87" w:rsidRDefault="00496D87" w:rsidP="008B07DB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wadium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zaliczek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poczet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zamówienia:</w:t>
      </w:r>
    </w:p>
    <w:p w:rsidR="00496D87" w:rsidRPr="00496D87" w:rsidRDefault="00496D87" w:rsidP="008B07DB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zaliczek: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złożenia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katalogów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dołączenia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katalogów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elektronicznych:</w:t>
      </w:r>
    </w:p>
    <w:p w:rsidR="00496D87" w:rsidRPr="00496D87" w:rsidRDefault="00496D87" w:rsidP="008B07DB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Dopuszcza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postaci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katalogów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dołączenia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katalogów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elektronicznych: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złożenia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wariantowej:</w:t>
      </w:r>
    </w:p>
    <w:p w:rsidR="00496D87" w:rsidRPr="00496D87" w:rsidRDefault="00496D87" w:rsidP="008B07DB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Dopuszcza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wariantowej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Złożenie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wariantowej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dopuszcza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tylko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jednoczesnym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złożeniem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zasadniczej: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Przewidywana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wykonawców,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którzy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zostaną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zaproszeni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ograniczony,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negocjacje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ogłoszeniem,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dialog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konkurencyjny,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partnerstwo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innowacyjne)</w:t>
      </w:r>
    </w:p>
    <w:p w:rsidR="00496D87" w:rsidRPr="00496D87" w:rsidRDefault="00496D87" w:rsidP="008B07DB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Przewidywana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minimalna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Maksymalna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Kryteria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selekcji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ramowej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dynamicznego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systemu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zakupów:</w:t>
      </w:r>
    </w:p>
    <w:p w:rsidR="00496D87" w:rsidRPr="00496D87" w:rsidRDefault="00496D87" w:rsidP="008B07DB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zawarta: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ograniczenie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uczestników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ramowej: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Przewidziana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maksymalna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uczestników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ramowej: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Zamówienie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obejmuje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ustanowienie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dynamicznego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systemu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zakupów: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internetowej,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zamieszczone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dynamicznego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systemu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zakupów: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ramowej/dynamicznego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systemu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zakupów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dopuszcza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katalogów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elektronicznych: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Przewiduje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pobranie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złożonych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katalogów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potrzebnych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sporządzenia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ramowej/dynamicznego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systemu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zakupów: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Aukcja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nieograniczony,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przetarg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ograniczony,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negocjacje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ogłoszeniem)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internetowej,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aukcja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prowadzona: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wskazać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elementy,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będą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przedmiotem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ograniczenia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przedstawionych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wartości,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wynikające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podać,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zostaną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udostępnione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wykonawcom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trakcie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udostępnienia: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przebiegu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Jaki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przewidziany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sposób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toku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mogli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licytować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(minimalne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wysokości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postąpień):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wykorzystywanego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sprzętu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elektronicznego,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rozwiązań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specyfikacji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połączeń: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Wymagania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rejestracji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identyfikacji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czasie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trwania:</w:t>
      </w:r>
    </w:p>
    <w:p w:rsidR="00496D87" w:rsidRPr="00496D87" w:rsidRDefault="00496D87" w:rsidP="008B07DB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Czas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trwania: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postąpień,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zostaną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zakwalifikowani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następnego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etapu: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Warunki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zamknięcia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aukcji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  <w:gridCol w:w="934"/>
      </w:tblGrid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kara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umowna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tytułu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przedstawieniu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projektu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składu,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impozycji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wydruku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próbnego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(proof)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materiałów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poligraficznych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dostarczeniu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którejkolwiek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partii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częściowego)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Zastosowanie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procedury,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24aa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(przetarg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nieograniczony)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Negocjacje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ogłoszeniem,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dialog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konkurencyjny,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partnerstwo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negocjacji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Minimalne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muszą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spełniać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wszystkie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Przewidziane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zastrzeżenie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podstawie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wstępnych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przeprowadzenia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negocjacji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Przewidziany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podział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negocjacji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ograniczenia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negocjacji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etapów):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dialogu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konkurencyjnego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Opis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potrzeb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sposobie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uzyskania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opisu: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wysokości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nagród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podczas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dialogu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konkurencyjnego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przedstawili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rozwiązania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stanowiące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podstawę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nagrody: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Wstępny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harmonogram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Podział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dialogu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ograniczenia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rozwiązań: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dialogu: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temat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partnerstwa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Elementy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opisu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definiujące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minimalne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muszą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odpowiadać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wszystkie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Podział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negocjacji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ograniczeniu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podlegających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negocjacjom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zastosowanie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kryteriów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oceny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wskazanych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specyfikacji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istotnych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Licytacja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internetowej,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prowadzona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Adres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internetowej,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dostępny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rejestracji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identyfikacji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urządzeń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informatycznych: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Sposób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toku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minimalnych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wysokości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postąpień: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liczbie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czasie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trwania: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Czas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trwania: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Wykonawcy,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postąpień,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zostaną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zakwalifikowani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następnego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etapu: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wniosków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godzina: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Termin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otwarcia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zamknięcia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licytacji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elektronicznej: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Istotne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postanowienia,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zostaną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wprowadzone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treści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zawieranej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sprawie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publicznego,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ogólne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wzór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Wymagania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zabezpieczenia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należytego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ZMIANA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istotne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zmiany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zawartej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stosunku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dokonano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wyboru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charakter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zmian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warunki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wprowadzenia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zmian: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następujące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możliwości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zmiany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dostarczenia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parametrach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lepszych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ofercie,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wszelkich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zmian,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nastąpi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zmiana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powszechnie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mającym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wpływ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realizację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zmiany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wynikających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okoliczności,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dało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chwili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zawierania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zmiana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uzasadniona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potrzebami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Zamawiającego,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wydłużenia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realizacji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upływem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§11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wykorzysta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całości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wartości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1/2/3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ADMINISTRACYJNE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udostępniania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charakterze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poufnym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dotyczy):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służące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ochronie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charakterze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poufnym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2018-05-17,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godzina: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11:00,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Skrócenie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wniosków,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względu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pilną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potrzebę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(przetarg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nieograniczony,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przetarg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ograniczony,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negocjacje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ogłoszeniem):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Wskazać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powody: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Język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języki,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mogą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sporządzane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wnioski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dopuszczenie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udziału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&gt;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musi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sporządzona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języku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polskim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związania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ofertą: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30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ostatecznego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nieprzyznania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pochodzących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budżetu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Europejskiej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niepodlegających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zwrotowi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środków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pomocy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udzielonej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państwa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członkowskie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Europejskiego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Porozumienia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Wolnym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Handlu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(EFTA),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miały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przeznaczone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sfinansowanie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całości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służące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sfinansowaniu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zamówień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badania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naukowe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rozwojowe,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które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zamierzał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przeznaczyć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sfinansowanie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całości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zostały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przyznane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I.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Grupa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kapitałowa: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przynależności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braku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przynależności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samej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grupy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kapitałowej: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braku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podstaw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wykluczenia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przynależności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braku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przynależności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samej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grupy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kapitałowej;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przynależności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samej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grupy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kapitałowej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bądź informacje potwierdzające,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powiązania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prowadzą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zakłócenia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konkurencji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postępowaniu;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ewentualne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dowody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zamieszczenia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stronie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internetowej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86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każdy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składających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wspólną.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oryginale.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II.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zagraniczni: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terytorium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Rzeczypospolitej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Polskiej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zobowiązany,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Rozdziałem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wskazanych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Ministra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Rozwoju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lipca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sprawie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rodzajów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żądać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okresu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ważności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form,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jakich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mogą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(Dz.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poz.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1126)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zamiast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dokumentów: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odpowiedniego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rejestru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braku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takiego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rejestru,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równoważny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wydany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sądowy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administracyjny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13,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softHyphen/>
        <w:t>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wystawione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potwierdzające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odpowiednio,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że: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zalega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opłacaniem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podatków,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opłat,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składek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ubezpieczenie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społeczne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zdrowotne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zawarł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porozumienie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sprawie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spłat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należności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ewentualnymi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odsetkami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grzywnami,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szczególności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uzyskał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przewidziane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prawem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zwolnienie,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odroczenie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rozłożenie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raty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zaległych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płatności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wstrzymanie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całości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decyzji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otwarto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likwidacji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ani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ogłoszono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upadłości;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powinny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wystawione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upływem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ofert.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powinien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być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wystawiony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miesiące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upływem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terminu.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wydaje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zastępuje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zawierającym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odpowiednio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wskazaniem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osób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uprawnionych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reprezentacji,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dotyczyć,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złożone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notariuszem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sądowym,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administracyjnym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samorządu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zawodowego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gospodarczego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względu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osoby.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stosuje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odpowiednio.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wątpliwości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treści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złożonego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wykonawcę,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zwrócić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odpowiednio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niezbędnych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dokumentu.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siedzibę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terytorium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Rzeczypospolitej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Polskiej,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odniesieniu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mającej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poza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terytorium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Rzeczypospolitej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Polskiej,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wskazany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składa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określonym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ustawy,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wymagał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Rozdziałem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dokumentu.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Jeżeli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miał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dotyczyć,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wydaje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takich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zastępuje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zawierającym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złożonym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notariuszem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sądowym,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administracyjnym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albo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samorządu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zawodowego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gospodarczego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względu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osoby.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zdanie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pierwsze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Rozporządzenia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stosuje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wątpliwości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co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treści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5,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złożonego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wykonawcę,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zwrócić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właściwych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organów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kraju,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miejsce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zamieszkania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osoba,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której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udzielenie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niezbędnych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informacji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dotyczących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tego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dokumentu.</w:t>
      </w:r>
    </w:p>
    <w:p w:rsidR="00496D87" w:rsidRPr="00496D87" w:rsidRDefault="00496D87" w:rsidP="00496D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-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DOTYCZĄCE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OFERT</w:t>
      </w:r>
      <w:r w:rsidR="00DE2B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4430"/>
      </w:tblGrid>
      <w:tr w:rsidR="00496D87" w:rsidRPr="00496D87" w:rsidTr="00496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</w:t>
            </w:r>
            <w:r w:rsidR="00DE2B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nr: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Druki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związane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bieżącą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działalnością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statutową</w:t>
            </w:r>
          </w:p>
        </w:tc>
      </w:tr>
    </w:tbl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Krótki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zakres,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rodzaj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ilość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dostaw,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usług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robót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budowlanych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określenie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wymagań)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partnerstwa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-określenie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produkt,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usługę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roboty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druków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związanych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bieżącą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działalnością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statutową,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opisem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zasadami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sztuki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drukarskiej,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współczesnej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wiedzy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normami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powszechnie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Wspólny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Słownik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Zamówień(CPV):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22900000-9,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zamówienia(jeżeli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podaje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zamówienia):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Wartość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VAT: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miesiącach: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rozpoczęcia: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zakończenia: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  <w:gridCol w:w="934"/>
      </w:tblGrid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kara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umowna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tytułu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przedstawieniu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projektu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składu,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impozycji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wydruku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próbnego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(proof)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materiałów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poligraficznych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dostarczeniu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którejkolwiek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partii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częściowego)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496D87" w:rsidRPr="00496D87" w:rsidRDefault="00496D87" w:rsidP="00496D87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zawarcia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lipca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2018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202"/>
      </w:tblGrid>
      <w:tr w:rsidR="00496D87" w:rsidRPr="00496D87" w:rsidTr="00496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</w:t>
            </w:r>
            <w:r w:rsidR="00DE2B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nr: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Programy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koncertów</w:t>
            </w:r>
          </w:p>
        </w:tc>
      </w:tr>
    </w:tbl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Krótki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zakres,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rodzaj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ilość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dostaw,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usług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robót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budowlanych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określenie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wymagań)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partnerstwa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-określenie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produkt,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usługę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roboty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programów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koncertów,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opisem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zasadami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sztuki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drukarskiej,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współczesnej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wiedzy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normami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powszechnie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Wspólny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Słownik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Zamówień(CPV):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22900000-9,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zamówienia(jeżeli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podaje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zamówienia):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Wartość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VAT: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miesiącach: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rozpoczęcia: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zakończenia: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  <w:gridCol w:w="934"/>
      </w:tblGrid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kara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umowna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tytułu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przedstawieniu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projektu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składu,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impozycji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wydruku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próbnego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(proof)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materiałów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poligraficznych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dostarczeniu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którejkolwiek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partii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częściowego)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496D87" w:rsidRPr="00496D87" w:rsidRDefault="00496D87" w:rsidP="00496D87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DODATKOWE: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zawarcia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lipca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2018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073"/>
      </w:tblGrid>
      <w:tr w:rsidR="00496D87" w:rsidRPr="00496D87" w:rsidTr="00496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</w:t>
            </w:r>
            <w:r w:rsidR="00DE2B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nr: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Publikacje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katalogowe</w:t>
            </w:r>
          </w:p>
        </w:tc>
      </w:tr>
    </w:tbl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Krótki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zakres,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rodzaj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ilość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dostaw,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usług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robót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budowlanych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określenie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wymagań)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przypadku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partnerstwa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innowacyjnego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-określenie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zapotrzebowania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innowacyjny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produkt,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usługę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roboty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Przedmiotem</w:t>
      </w:r>
      <w:proofErr w:type="spellEnd"/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jest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dostawa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publikacji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katalogowych,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opisem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przedmiotu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zasadami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sztuki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drukarskiej,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współczesnej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wiedzy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technicznej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normami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powszechnie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obowiązującymi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przepisami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zakresie.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Wspólny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Słownik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Zamówień(CPV):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22900000-9,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Wartość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zamówienia(jeżeli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podaje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wartości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zamówienia):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Wartość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bez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VAT: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trwania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wykonania: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miesiącach: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okres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dniach: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rozpoczęcia: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  <w:t>data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zakończenia: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oceny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  <w:gridCol w:w="934"/>
      </w:tblGrid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96D87" w:rsidRPr="00496D87" w:rsidTr="00496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kara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umowna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tytułu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przedstawieniu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projektu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składu,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impozycji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wydruku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próbnego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(proof)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materiałów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poligraficznych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opóźnienia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dostarczeniu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którejkolwiek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partii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(zamówienia</w:t>
            </w:r>
            <w:r w:rsidR="00DE2B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częściowego)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87" w:rsidRPr="00496D87" w:rsidRDefault="00496D87" w:rsidP="00496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D8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496D87" w:rsidRPr="00496D87" w:rsidRDefault="00496D87" w:rsidP="00496D8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DODATKOWE:</w:t>
      </w:r>
      <w:r w:rsidR="00DE2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zamówienia: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miesięcy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zawarcia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jednak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wcześniej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niż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lipca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2018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6D87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E2B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136BE" w:rsidRPr="008B07DB" w:rsidRDefault="001136BE">
      <w:pPr>
        <w:rPr>
          <w:rFonts w:ascii="Times New Roman" w:hAnsi="Times New Roman" w:cs="Times New Roman"/>
        </w:rPr>
      </w:pPr>
    </w:p>
    <w:sectPr w:rsidR="001136BE" w:rsidRPr="008B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87"/>
    <w:rsid w:val="001136BE"/>
    <w:rsid w:val="00496D87"/>
    <w:rsid w:val="004B1C9C"/>
    <w:rsid w:val="008B07DB"/>
    <w:rsid w:val="00D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0567-E7AB-4E58-8DB7-F2BEAF5C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A45D-5F58-4BAF-98C5-F5DE7B03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4589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Jasiak - Wybraniec</dc:creator>
  <cp:lastModifiedBy>Danuta Burdzińska</cp:lastModifiedBy>
  <cp:revision>2</cp:revision>
  <dcterms:created xsi:type="dcterms:W3CDTF">2018-05-09T09:13:00Z</dcterms:created>
  <dcterms:modified xsi:type="dcterms:W3CDTF">2018-05-09T09:13:00Z</dcterms:modified>
</cp:coreProperties>
</file>